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37 vom 4. Oktober 2022</w:t>
      </w:r>
    </w:p>
    <w:p>
      <w:r>
        <w:t>GR Gerichte, 2022-10-04, DE</w:t>
      </w:r>
    </w:p>
    <w:p>
      <w:r>
        <w:rPr>
          <w:b/>
        </w:rPr>
        <w:t xml:space="preserve">Quelle: </w:t>
      </w:r>
      <w:r>
        <w:t>https://mcp.opencaselaw.ch/entscheid/gr_gerichte_ZK2 2022 37</w:t>
      </w:r>
    </w:p>
    <w:p>
      <w:r>
        <w:t>FR: GR_GERICHTE ZK2 2022 37 du 4 octobre 2022</w:t>
      </w:r>
    </w:p>
    <w:p>
      <w:r>
        <w:t>IT: GR_GERICHTE ZK2 2022 37 del 4 ottobre 2022</w:t>
      </w:r>
    </w:p>
    <w:p>
      <w:pPr>
        <w:pStyle w:val="Heading2"/>
      </w:pPr>
      <w:r>
        <w:t>Regeste</w:t>
      </w:r>
    </w:p>
    <w:p>
      <w:r>
        <w:t>Rechtsschutz in klaren Fällen (Mieterausweisung) | Berufung OR Miete</w:t>
      </w:r>
    </w:p>
    <w:p>
      <w:pPr>
        <w:pStyle w:val="Heading2"/>
      </w:pPr>
      <w:r>
        <w:t>Erwägungen</w:t>
      </w:r>
    </w:p>
    <w:p>
      <w:r>
        <w:rPr>
          <w:b/>
        </w:rPr>
        <w:t>E. 5</w:t>
      </w:r>
    </w:p>
    <w:p>
      <w:r>
        <w:t>/ 9 fungsbeklagte bestritt jedoch, dass es eine Abmachung zwischen ihm und dem Berufungskläger betreffend die angebliche "Zwischennutzung" gebe. Das Mietver- hältnis basiere allein auf dem schriftlich abgefassten Mietvertrag; mündliche Ver- einbarungen habe es keine gegeben (RG act. I.3). 2.2. Der Vorderrichter begründete die Gutheissung des Gesuchs im Wesentli- chen, wie folgt: Der Berufungsbeklagte habe den Mietvertrag vom 7. Januar 2019 mit amtlichem Kündigungsformular vom 8. November 2021 per 30. Juni 2022 gekündigt. Der Rückgabetermin sei ursprünglich auf den 1. Juli 2022 festgelegt und schliesslich auf den 3. Juli 2022 verschoben worden. Der Berufungskläger (der Vorderrichter spricht versehentlich von der gesuchstellenden Partei, womit der Berufungsbeklagte gemeint wäre) habe am 3. Juli 2022 die Schlüssel des Mie- tobjekts dem Vertreter des Berufungsbeklagten (E._____) nicht zurückgegeben und verweile bis heute im streitgegenständlichen Mietobjekt (Erwägung 3). Die Formvorschriften der Kündigung gemäss Art. 266l OR seien eingehalten worden (Erwägung 4). Auch Kündigungsfrist und -termin seien eingehalten worden und die Kündigung sei bei der zuständigen Schlichtungsbehörde nicht angefochten wor- den (Erwägung 5). Das zwischen den Parteien ursprünglich auf den 1. Juli 2022 vereinbarte Treffen habe schliesslich am 3. Juli 2022 stattgefunden. Der Beru- fungskläger habe anlässlich des Treffens vom 3. Juli 2022 die Schlüssel des Mie- tobjektes dem Vertreter des Berufungsbeklagten, E._____, nicht zurückgegeben, obwohl dies gemäss Art. 267 OR seine Pflicht gewesen wäre. Ein Annahmeverzug des Vermieters, wie ihn der Berufungskläger implizit geltend mache, sei damit ausgeschlossen (Erwägung 6 f.). Zwischen den Parteien sei unbestritten, dass die Kündigung rechtsgültig mittels amtlichem Formular erfolgt sei. Des Weiteren habe der Berufungsbeklagte mit seinem Gesuch um Ausweisung vom 13. Juli 2022 bei Gericht zeitnah seinen Willen zur Aufrechterhaltung der Kündigung manifestiert. Von einer stillschweigenden Vertragsverlängerung wegen verspäteter Abnahme des Mietobjektes habe der Berufungskläger somit offensichtlich nicht ausgehen können (Erwägung 8). 2.3. Aufgrund der wiedergegebenen Vorbringen der Parteien (vgl. oben Erwä- gung 2.1) erweist sich die Begründung des angefochtenen Entscheides als unvoll- ständig. So setzt sie sich insbesondere nicht mit der nach Auffassung des Beru- fungsklägers bestehenden (mündlichen) Abmachung über eine "Zwischennut- zung" bis zum Vorliegen eines Umbauprojektes auseinander, was offenkundig als Verletzung der gerichtlichen Begründungspflicht und damit des Anspruchs der Parteien – vorliegend namentlich des Berufungsklägers – auf rechtliches Gehör (Art. 29 Abs. 2 BV) anzusehen ist. Die Verletzung ist zwar kaum mehr als leicht</w:t>
      </w:r>
    </w:p>
    <w:p>
      <w:r>
        <w:rPr>
          <w:b/>
        </w:rPr>
        <w:t>E. 6</w:t>
      </w:r>
    </w:p>
    <w:p>
      <w:r>
        <w:t>/ 9 einzustufen, da dieser Aspekt im angefochtenen Entscheid komplett ausgeblendet wird; angesichts des Umstandes, dass es sich vorliegend um eine Summarange- legenheit handelt (vgl. oben Erwägung 1.1), würde sich eine Rückweisung jedoch nicht als prozessökonomisch erweisen und läge auch nicht im Interesse der Par- teien. Wie aus den nachfolgenden Ausführungen (vgl. unten Erwägung 2.4) her- vorgeht, kann das Kantonsgericht unbesehen um diesen Begründungsmangel selbst ein Urteil fällen, weshalb von einer Rückweisung abzusehen ist. Die Gehörsverletzung ist jedoch bei der Kostenfolge zu berücksichtigen (vgl. unten Erwägung 4.1). 2.4. Wie bereits ausgeführt (vgl. oben Erwägung 2.2) stellte sich der Berufungs- kläger im Verfahren vor der Vorinstanz auf den Standpunkt, ursprünglich habe es gemäss Mietvertrag die Abmachung gegeben, dass er bis zu einem konkreten Umbauprojekt das Haus "als Zwischennutzung" bewohnen könne. Ein vom Haus- besitzer vorgesehener Umbau sei jedoch noch nicht ausgeschrieben. Spätestens bei einem bevorstehenden Umbau (nach erfolgter offizieller Bewilligung) werde er das Haus mit Vorankündigung räumen und verlassen (RG act. I.2). An dieser Ar- gumentation hält er im Wesentlichen auch im vorliegenden Verfahren fest: Gemäss mündlicher Vereinbarung habe der Mietvertrag eine Zwischennutzung vorgesehen, bis sich das Bauvorhaben des Berufungsbeklagten konkretisieren würde. Daher sei im Mietvertrag auch die feste, unkündbare zweijährige Mietdauer im Vertrag verankert gewesen. Bei der persönlichen Übergabe der Kündigung ha- be ihm der Berufungsbeklagte mitgeteilt, dass er die Liegenschaft benötige, um sein Vorhaben zu realisieren. Bis heute seien allerdings keine Bauvorhaben vom Berufungsbeklagten publiziert worden (act. A.1). Der Berufungsbeklagte bestritt eine solche Abmachung und verwies auf den schriftlichen Mietvertrag (vgl. oben Erwägung 2.1). Es trifft denn auch zu, dass der schriftliche Mietvertrag (RG act. II.1) keine Angaben über die behauptete "Zwischennutzung" bis zu einem geplan- ten Umbauvorhaben enthält bzw. die Zulässigkeit einer vermieterseits erfolgten Kündigung nicht an die Bedingung eines konkreten (Um-)Bauprojektes geknüpft ist. Eine allenfalls mündliche (Zusatz-)Vereinbarung, wie sie der Berufungskläger behauptet und vom Berufungsbeklagten bestritten wird, hätte jedoch derjenige zu beweisen, der daraus Rechte ableitet (vgl. Art. 8 ZGB). Vorliegend ist dies der Be- rufungskläger, der dadurch einen (vorübergehenden) Fortbestand des Mietvertra- ges bzw. die Ungültigkeit der Kündigung zu begründen versucht. Es bleibt jedoch bei der blossen (bestrittenen) Behauptung der mündlichen Vereinbarung; entspre- chende Belege liegen auch nicht bei den Akten und der Berufungskläger stellt(e) keine entsprechenden Beweisanträge. Folge dieser Beweislosigkeit, die – wie ge- zeigt – zu Lasten des Berufungsklägers geht, ist, dass vom Fehlen einer entspre-</w:t>
      </w:r>
    </w:p>
    <w:p>
      <w:r>
        <w:rPr>
          <w:b/>
        </w:rPr>
        <w:t>E. 7</w:t>
      </w:r>
    </w:p>
    <w:p>
      <w:r>
        <w:t>/ 9 chenden Vereinbarung betreffend die "Zwischennutzung" auszugehen ist. Die Ausführungen des Berufungsklägers sind in diesem Punkt denn auch nicht schlüssig: So will insbesondere nicht einleuchten, warum der Berufungskläger nach einem persönlichen Gespräch mit E._____ am 3. Juli 2022 die Hoffnung ge- habt habe, dass dieser "beim Hausbesitzer wohlwollende Worte für eine Lösung einlegen" (RG act. I.2) werde, wenn er doch angeblich über ein (vertragliches) Recht zur "Zwischennutzung" gehabt haben soll. Sodann müsste bereits im Zeit- punkt des Vertragsabschlusses (7. Januar 2019) die beabsichtigten Umbauarbei- ten mehr oder weniger konkret gewesen sein, andernfalls die behauptete (mündli- che) Abmachung betreffend "Zwischennutzung" bis zum vorgesehenen Umbau des Mietobjektes kaum Sinn gemacht hätte. Der Berufungskläger macht dies je- doch nicht (explizit) geltend und Entsprechendes ergibt sich auch nicht aus den Akten. Im Übrigen ist auch nicht nachvollziehbar, was der Berufungskläger daraus ableiten will, dass die erste Kündigung des am 1. Februar 2019 beginnenden Mietverhältnisses nicht vor dem 31. März 2021 erfolgen konnte (vgl. RG act. II.1 [S. 2]; der Berufungskläger spricht in diesem Zusammenhang von einer "feste[n], unkündbare[n] zweijährige[n] Mietdauer"; vgl. act. A.1). Solche Klauseln sind in Mietverträgen nicht unüblich; jedenfalls aber vermögen sie von vornherein nichts über ein angebliches Recht zur "Zwischennutzung" bis zu einem beabsichtigten Umbau auszusagen. Sofern der Berufungskläger in seiner Berufung auf finanzielle Schwierigkeiten im Zusammenhang mit dem "zweiten Corona-Winter" hinweist, erweisen sich diese Vorbringen als neu, sodass darauf nicht weiter einzugehen ist (vgl. Art. 317 ZPO; ferner auch Art. 326 Abs. 1 ZPO). Andere Rügen bringt der Berufungskläger nicht vor. Insbesondere anerkannte er bereits im vorinstanzlichen Verfahren, dass er die Kündigung des Mietvertrages nicht angefochten hatte (vgl. RG act. I.2 [S. 3]). Der Entscheid des Vorderrichters ist daher im Grundsatz (vgl. aber unten Erwägung 2.5) zu bestätigen und die dagegen gerichtete "Berufung" ist abzuweisen. 2.5. Hinsichtlich des Zeitpunktes der Rückgabe des Mietobjektes entschied der Vorderrichter, dieses sei "per sofort, spätestens jedoch innert 20 Tagen" vollstän- dig zu räumen und einwandfrei gereinigt mit allen Schlüsseln zurückzugeben (vgl. Dispositiv-Ziffer 2). Was dabei das fristauslösende Moment für die 20-tägige Frist sein soll – ob etwa die Zustellung des begründeten Entscheides, der Eintritt der Rechtskraft oder eine entsprechende Aufforderung des Berufungsbeklagten –, geht weder aus dem Entscheiddispositiv noch aus den Erwägungen hervor. Dis- positiv-Ziffer 2 ist daher in der vorliegenden Fassung kaum vollstreckbar, weswe- gen eine amtsseitige Präzisierung angezeigt erscheint. Auszugehen ist dabei zunächst vom Umstand, dass die 20-tägige Frist grundsätzlich unangefochten ge-</w:t>
      </w:r>
    </w:p>
    <w:p>
      <w:r>
        <w:rPr>
          <w:b/>
        </w:rPr>
        <w:t>E. 8</w:t>
      </w:r>
    </w:p>
    <w:p>
      <w:r>
        <w:t>/ 9 blieben ist. Sinnvollerweise ist diese an die Zustellung des vorliegenden Entschei- des zu knüpfen. Eine Zustellung kann – in analoger Anwendung von Art. 138 Abs. 3 lit. a ZPO – am siebten Tag nach dem Versand des Entscheides als erfolgt an- gesehen werden. Unter diesen Umständen hat die ordnungsgemässe Rückgabe des Mietobjektes bis spätestens am 2. November 2022 zu erfolgen. 3. Die "Berufung" ist nach dem Gesagten abzuweisen. Die vorliegende Ent- scheidung ergeht gestützt auf Art. 18 Abs. 3 GOG (BR 173.000) und Art. 11 Abs. 2 KGV (BR 173.100) in einzelrichterlicher Kompetenz. 4.1. Vorliegend ist der Berufungskläger grundsätzlich als unterliegend anzuse- hen (vgl. Art. 106 Abs. 1 ZPO). Gemäss bundesgerichtlicher Rechtsprechung muss jedoch dem Umstand, dass ein Verfahrensfehler im Rechtsmittelverfahren geheilt worden ist, bei der Kostenregelung Rechnung getragen werden. Dies kann durch eine angemessene Reduktion der Gerichtsgebühr erfolgen, durch den Ver- zicht auf die Erhebung von Kosten oder indem die Gerichtskosten der für die Gehörsverletzung verantwortlichen Instanz auferlegt werden (vgl. etwa BGer 1C_41/2014 v. 24.7.2014 E. 7.3 m.w.H.; jüngst bestätigt in BGer 1B_292/2022 v. 28.7.2022 E. 5). Wie zuvor festgestellt (vgl. oben Erwägung 2.3) liegt eine offen- kundige, nicht mehr als leicht anzusehende Verletzung des berufungsklägerischen Anspruchs auf rechtliches Gehör durch den Vorderrichter vor. Der angefochtene Entscheid ist darüber hinaus mit weiteren (formellen) Mängeln versehen (vgl. oben Erwägungen 1.1, 1.2 und 2.5). Unter diesen Umständen rechtfertigt es sich, die Kosten des Berufungsverfahrens, welche in Anwendung von Art. 9 Abs. 1 bzw. Art. 10 Abs. 1 und Art. 13 Abs. 1 VGZ (BR 320.210) auf CHF 1'000.00 festgesetzt werden, der Vorinstanz zu auferlegen. Dem Berufungskläger wird der geleistete Kostenvorschuss in Höhe von CHF 1'500.00 zurückerstattet. 4.2. Da von der Einholung einer "Berufungsantwort" abgesehen wurde, ist dem Berufungsbeklagten von vornherein kein Aufwand im vorliegenden Verfahren ent- standen. Auch dem (anwaltlich nicht vertretenen) Berufungskläger ist kein nen- nenswerter Aufwand entstanden; im Übrigen ist eine Parteientschädigung von ihm weder beantragt noch werden die Voraussetzungen für die Zusprechung einer Umtriebsentschädigung im Sinne von Art. 95 Abs. 3 lit. c ZPO dargelegt. Es sind daher für das vorliegende Verfahren keine Parteientschädigungen zu sprechen.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